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870"/>
        <w:gridCol w:w="1699"/>
      </w:tblGrid>
      <w:tr>
        <w:tc>
          <w:tcPr>
            <w:tcW w:type="dxa" w:w="8870"/>
            <w:vAlign w:val="top"/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pStyle w:val="Title"/>
              <w:keepNext w:val="0"/>
              <w:widowControl/>
              <w:spacing w:before="0" w:after="40" w:line="240" w:lineRule="auto"/>
              <w:pBdr>
                <w:bottom w:val="single" w:sz="16" w:space="5" w:color="1E5AA8"/>
              </w:pBdr>
            </w:pPr>
            <w:r>
              <w:rPr>
                <w:rFonts w:ascii="Georgia" w:hAnsi="Georgia"/>
                <w:b/>
                <w:color w:val="0B1F33"/>
                <w:sz w:val="54"/>
              </w:rPr>
              <w:t>Keith A. Pauley</w:t>
            </w:r>
          </w:p>
          <w:p>
            <w:pPr>
              <w:keepNext w:val="0"/>
              <w:widowControl/>
              <w:spacing w:before="40" w:after="0" w:line="240" w:lineRule="auto"/>
            </w:pPr>
            <w:r>
              <w:rPr>
                <w:rFonts w:ascii="Arial" w:hAnsi="Arial"/>
                <w:color w:val="536273"/>
                <w:sz w:val="18"/>
              </w:rPr>
              <w:t>277 Current Drive, Rockledge, FL 32955  USA</w:t>
            </w:r>
          </w:p>
          <w:p>
            <w:pPr>
              <w:keepNext w:val="0"/>
              <w:widowControl/>
              <w:spacing w:before="40" w:after="0" w:line="240" w:lineRule="auto"/>
            </w:pPr>
            <w:r>
              <w:rPr>
                <w:rFonts w:ascii="Arial" w:hAnsi="Arial"/>
                <w:color w:val="536273"/>
                <w:sz w:val="18"/>
              </w:rPr>
              <w:t>+1-304-881-1012 (US) keith@keithpauley.com</w:t>
            </w:r>
          </w:p>
        </w:tc>
        <w:tc>
          <w:tcPr>
            <w:tcW w:type="dxa" w:w="169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804672" cy="1005840"/>
                  <wp:docPr id="1" name="Picture 1" descr="Keith A. Pauley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eith-pauley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2" cy="1005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</w:pPr>
    </w:p>
    <w:p>
      <w:pPr>
        <w:keepNext w:val="0"/>
        <w:widowControl/>
        <w:spacing w:before="0" w:after="160" w:line="269" w:lineRule="auto"/>
        <w:ind w:left="202" w:right="173"/>
        <w:shd w:fill="F0F4F8"/>
        <w:pBdr>
          <w:left w:val="single" w:sz="28" w:space="8" w:color="1E5AA8"/>
          <w:top w:val="single" w:sz="4" w:space="7" w:color="C7D0DB"/>
          <w:bottom w:val="single" w:sz="4" w:space="7" w:color="C7D0DB"/>
          <w:right w:val="single" w:sz="4" w:space="7" w:color="C7D0DB"/>
        </w:pBdr>
      </w:pPr>
      <w:r>
        <w:rPr>
          <w:rFonts w:ascii="Georgia" w:hAnsi="Georgia"/>
          <w:color w:val="0B1F33"/>
          <w:sz w:val="20"/>
        </w:rPr>
        <w:t>Highly technical project manager with a key focus on collaborative growth and business management, clear communication of technical subject matter, detailed planning, execution and risk management of large complex programs, pro-active customer and stakeholder engagement, and investment in staff mentoring and career development.</w:t>
      </w:r>
    </w:p>
    <w:p>
      <w:pPr>
        <w:keepNext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>Professional Experience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Principal Program Manager, L3Harris, Mission Avionics</w:t>
      </w:r>
      <w:r>
        <w:rPr>
          <w:rFonts w:ascii="Arial" w:hAnsi="Arial"/>
          <w:b/>
          <w:color w:val="1E5AA8"/>
          <w:sz w:val="19"/>
        </w:rPr>
        <w:t xml:space="preserve"> [8/23-9/26]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Leadership and management of a Tier-1 &gt;$1B DoD defense acquisition to develop and manufacture avionics systems on the F-35 Joint Strike Fighter Program.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Supported formal risk management, Estimate at Completion (EAC) performance, labor allocation, sales and profit performance, contract/invoicing processes, budget management, stakeholder/customer engagement.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Team includes over 350 technicians and engineers, major production facilities and over 12 major subcontractors/suppliers.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F-35 Program had experienced difficulties in delivery and had required major programmatic redesign and interface with the customer.  Able to achieve full-rate production within 6 months, under budget.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Leadership and management of a new aerospace Tier-2 &gt;$100M DoD defense acquisition to develop and manufacture avionics systems on a new air platform (not F-35), including high assurance devices and data encryption.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Principal Program Manager, Maritime Systems, L3Harris</w:t>
      </w:r>
      <w:r>
        <w:rPr>
          <w:rFonts w:ascii="Arial" w:hAnsi="Arial"/>
          <w:b/>
          <w:color w:val="1E5AA8"/>
          <w:sz w:val="19"/>
        </w:rPr>
        <w:t xml:space="preserve"> [3/20-8/23]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Leadership and management of a Tier-1 $400 million Navy defense acquisition to develop and integrate electrical propulsion, network and controls systems on the new Constellation Class guided missile frigate; supported formal risk management, EAC performance, labor allocation, sale and profit performance and contract/invoicing processes.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Grew the overall contract value by over 20% through a series of proposals to both the shipyard prime and the US Navy for scope growth.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Team includes over 50 engineers, 6 major Integrated Product Teams and 18 major international suppliers, including management of all export control processes.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Utilized DevSecOps to produce cybersecure controls software within a CMMI 2.0 Level 3 process environment.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 team that developed both Division and Sector level strategic plans to assure 9% CAGR for the maritime business.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Owner, Vandalia Growers USA</w:t>
      </w:r>
      <w:r>
        <w:rPr>
          <w:rFonts w:ascii="Arial" w:hAnsi="Arial"/>
          <w:b/>
          <w:color w:val="1E5AA8"/>
          <w:sz w:val="19"/>
        </w:rPr>
        <w:t xml:space="preserve"> [11/18-3/20]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Site development and engineering design of a $50 million venture-capital funded tomato greenhouse complex in Buffalo, WV, including implementation of sophisticated environmental control systems and software (one of the first in the United States).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Program Manager, Pragmatics</w:t>
      </w:r>
      <w:r>
        <w:rPr>
          <w:rFonts w:ascii="Arial" w:hAnsi="Arial"/>
          <w:b/>
          <w:color w:val="1E5AA8"/>
          <w:sz w:val="19"/>
        </w:rPr>
        <w:t xml:space="preserve"> [5/17-11/18]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Technical orcestration for a software development and maintenance team of over 100 professionals for the Office of the Comptroller of the Currency, Department of Treasury, Washington, DC in support of National Bank Examiners.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Used both Agile Scrum and Waterfall development methodologies with a variety of tool suites, including AngularJS, Bootstrap, Jira, Confluence, and AWS Cloud9.  Used ITIL DevSecOps methodologies.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Enhanced collaboration with other federal agencies, including Presidential Cabinet-level presentations.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Owner and Managing Member, Western Edge Consulting</w:t>
      </w:r>
      <w:r>
        <w:rPr>
          <w:rFonts w:ascii="Arial" w:hAnsi="Arial"/>
          <w:b/>
          <w:color w:val="1E5AA8"/>
          <w:sz w:val="19"/>
        </w:rPr>
        <w:t xml:space="preserve"> [5/16-11/18]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Consulted on multiple space and defense business development proposal teams for top-five defense contractors and mid-tier government solution providers valued in total at over $12B.</w:t>
      </w:r>
    </w:p>
    <w:p>
      <w:pPr>
        <w:keepNext/>
        <w:pageBreakBefore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Chief Science Officer and Partner, Triana Energy Group</w:t>
      </w:r>
      <w:r>
        <w:rPr>
          <w:rFonts w:ascii="Arial" w:hAnsi="Arial"/>
          <w:b/>
          <w:color w:val="1E5AA8"/>
          <w:sz w:val="19"/>
        </w:rPr>
        <w:t xml:space="preserve"> [8/13-5/16]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Technology leader for a mid-market oil and natural gas exploration and production company in the Marcellus Shale Basin in Appalachia (&gt;$2B in annual revenue, third-largest in basin).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In charge of new technology demonstrations, including Cloud-based Remote Drilling (CRD), Measurement-While-Drilling (MWD) and real-time geo-physical data management.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Chief Technology Officer, China National Chemical Company (ChemChina)</w:t>
      </w:r>
      <w:r>
        <w:rPr>
          <w:rFonts w:ascii="Arial" w:hAnsi="Arial"/>
          <w:b/>
          <w:color w:val="1E5AA8"/>
          <w:sz w:val="19"/>
        </w:rPr>
        <w:t xml:space="preserve"> [8/12-5/13]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Fortune 500 company and largest chemical producer in China.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Managed 22 research institutes with over 7000 professional staff focused on chemical and environmental R&amp;D with P&amp;L responsibility for a $1.2B USD portfolio of products.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Conducted annual strategic planning for the entire corporation ($17B in 2013).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Increased revenues by 19% and profits by 43% in less than one year.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 the strategic acquisition of Syngenta ($40B) and Pirelli Tyres ($7B).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Lead the executive team that organized the IPO of ChemChina on the Shanghai Stock Exchange.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President and CEO, Mid-Atlantic Technology Research and Innovation Center (MATRIC)</w:t>
      </w:r>
      <w:r>
        <w:rPr>
          <w:rFonts w:ascii="Arial" w:hAnsi="Arial"/>
          <w:b/>
          <w:color w:val="1E5AA8"/>
          <w:sz w:val="19"/>
        </w:rPr>
        <w:t xml:space="preserve"> [4/04-8/12]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Founded the company to provide technology development and engineering in Software, Space, Chemical and Environmental Technologies.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Grew the company to nearly 150 scientists and engineers, including 2 memebers of the National Academy of Engineering, in 8 years and produced over 45 patents, doubling revenues every year.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Subcontracted to L3 Titan on IV&amp;V MAC-T and GeoSciences on NASA IV&amp;V Tools Lab contracts.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Subcontracted to URS on Department of Energy National Energy Technology Laboratory prime operations contract.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Subcontracted to Midwest Research on Department of Energy National Renewable Energy Laboratory prime operations contract.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Program Manager, L-3 Titan Corporation</w:t>
      </w:r>
      <w:r>
        <w:rPr>
          <w:rFonts w:ascii="Arial" w:hAnsi="Arial"/>
          <w:b/>
          <w:color w:val="1E5AA8"/>
          <w:sz w:val="19"/>
        </w:rPr>
        <w:t xml:space="preserve"> [2/02-4/04]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Managed software IV&amp;V and mission assurance for the International Space Station for NASA IV&amp;V Facility in Fairmont, WV.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40-person software assurance team provided independent oversight and support for critical software on the International Space Station.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Managed the development of test plans, assessment of software faults, and documentation of corrective actions.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Safely launched 17 Space Shuttle missions.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Deputy Program Manager, United Space Alliance</w:t>
      </w:r>
      <w:r>
        <w:rPr>
          <w:rFonts w:ascii="Arial" w:hAnsi="Arial"/>
          <w:b/>
          <w:color w:val="1E5AA8"/>
          <w:sz w:val="19"/>
        </w:rPr>
        <w:t xml:space="preserve"> [5/98-2/02]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Managed the Cockpit Avionics Upgrade Program for the Space Shuttle Program, including technical requirements, design and architecture, supplier selection and management, HQ/Congressional liason, and P&amp;L/EV accountability.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PMO for $370 million project with 225 direct personnel and 3 major subcontractors.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Developed 2 new flight computers and over 500,000 lines of Criticality 1 real-time software.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Managed a division of the Space Shuttle Software Development organization using Capability Maturity Model Integration CMMI Level 5 processes.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Senior Project Manager, Ares Aerospace Corporation</w:t>
      </w:r>
      <w:r>
        <w:rPr>
          <w:rFonts w:ascii="Arial" w:hAnsi="Arial"/>
          <w:b/>
          <w:color w:val="1E5AA8"/>
          <w:sz w:val="19"/>
        </w:rPr>
        <w:t xml:space="preserve"> [7/97-5/98]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Direct support of United Space Alliance CEO in technology application and systems engineering on the Space Shuttle at NASA’s Johnson Space Center.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 xml:space="preserve">Organized the $500 million per year Space Shuttle Upgrades Program. </w:t>
      </w:r>
    </w:p>
    <w:p>
      <w:pPr>
        <w:keepNext/>
        <w:widowControl/>
        <w:spacing w:before="80" w:after="40" w:line="240" w:lineRule="auto"/>
      </w:pPr>
      <w:r>
        <w:rPr>
          <w:rFonts w:ascii="Arial" w:hAnsi="Arial"/>
          <w:b/>
          <w:color w:val="0B1F33"/>
          <w:sz w:val="19"/>
        </w:rPr>
        <w:t>Nuclear Engineer, Pacific Northwest National Laboratory</w:t>
      </w:r>
      <w:r>
        <w:rPr>
          <w:rFonts w:ascii="Arial" w:hAnsi="Arial"/>
          <w:b/>
          <w:color w:val="1E5AA8"/>
          <w:sz w:val="19"/>
        </w:rPr>
        <w:t xml:space="preserve"> [6/88-7/97]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Created space nuclear power and propulsion space system designs for exploration missions to Mars and for lunar colony concepts, including SP-100, Fission Power Systems, and radioisotope thermal generators.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Department of Energy power system design representative on Space Station Freedom.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Supported classified power generation requirements for the Strategic Defense Initiative.</w:t>
      </w:r>
    </w:p>
    <w:p>
      <w:pPr>
        <w:keepNext/>
        <w:pageBreakBefore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 xml:space="preserve">Formal Education </w:t>
      </w:r>
    </w:p>
    <w:p>
      <w:pPr>
        <w:keepNext w:val="0"/>
        <w:widowControl/>
        <w:spacing w:before="0" w:after="60" w:line="240" w:lineRule="auto"/>
        <w:ind w:left="288"/>
      </w:pPr>
      <w:r>
        <w:rPr>
          <w:rFonts w:ascii="Arial" w:hAnsi="Arial"/>
          <w:color w:val="1E5AA8"/>
          <w:sz w:val="17"/>
        </w:rPr>
        <w:t xml:space="preserve">◆  </w:t>
      </w:r>
      <w:r>
        <w:rPr>
          <w:rFonts w:ascii="Arial" w:hAnsi="Arial"/>
          <w:b/>
          <w:color w:val="182230"/>
          <w:sz w:val="18"/>
        </w:rPr>
        <w:t>Master of Science</w:t>
      </w:r>
      <w:r>
        <w:rPr>
          <w:rFonts w:ascii="Arial" w:hAnsi="Arial"/>
          <w:color w:val="182230"/>
          <w:sz w:val="18"/>
        </w:rPr>
        <w:t>, Nuclear Engineering, Oregon State University, Oregon, United States of America</w:t>
      </w:r>
    </w:p>
    <w:p>
      <w:pPr>
        <w:keepNext w:val="0"/>
        <w:widowControl/>
        <w:spacing w:before="0" w:after="60" w:line="240" w:lineRule="auto"/>
        <w:ind w:left="288"/>
      </w:pPr>
      <w:r>
        <w:rPr>
          <w:rFonts w:ascii="Arial" w:hAnsi="Arial"/>
          <w:color w:val="1E5AA8"/>
          <w:sz w:val="17"/>
        </w:rPr>
        <w:t xml:space="preserve">◆  </w:t>
      </w:r>
      <w:r>
        <w:rPr>
          <w:rFonts w:ascii="Arial" w:hAnsi="Arial"/>
          <w:b/>
          <w:color w:val="182230"/>
          <w:sz w:val="18"/>
        </w:rPr>
        <w:t>Bachelor of Science</w:t>
      </w:r>
      <w:r>
        <w:rPr>
          <w:rFonts w:ascii="Arial" w:hAnsi="Arial"/>
          <w:color w:val="182230"/>
          <w:sz w:val="18"/>
        </w:rPr>
        <w:t>, Nuclear Engineering, Oregon State University, Oregon, United States of America</w:t>
      </w:r>
    </w:p>
    <w:p>
      <w:pPr>
        <w:keepNext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>Specific Technical Achievements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Project Management Professional (PMP) certification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ITIL Foundation certification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Certified Scrum Master (CSM) using Jira and Confluence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FAA single-engine student pilot (in-training)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Artificial Intelligence (AI) for PM Implementation certification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 xml:space="preserve">Space Shuttle Cockpit Avionics System design and development recogniton from NASA </w:t>
      </w:r>
    </w:p>
    <w:p>
      <w:pPr>
        <w:keepNext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>Additional Positions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Elected director for 18 community, economic development and privately-held corporations, including the Boy Scouts of America, International School of Beijing, TechConnectWV and CreateWV</w:t>
      </w:r>
    </w:p>
    <w:p>
      <w:pPr>
        <w:keepNext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>Awards, Recognitions and Associations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Oregon State College of Engineering, Outstanding Alumni Career Achievement Award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Project Management Professional certification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SECRET clearance (previously held Top Secret with alphas)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Special Recognition, Space Shuttle-Russian MIR Program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 xml:space="preserve">National Chapter of the Year, American Nuclear Society, President 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Eagle Scout, Boy Scouts of America</w:t>
      </w:r>
    </w:p>
    <w:p>
      <w:pPr>
        <w:keepNext/>
        <w:widowControl/>
        <w:spacing w:before="120" w:after="80" w:line="240" w:lineRule="auto"/>
        <w:ind w:left="144"/>
        <w:pBdr>
          <w:left w:val="single" w:sz="22" w:space="7" w:color="1E5AA8"/>
        </w:pBdr>
      </w:pPr>
      <w:r>
        <w:rPr>
          <w:rFonts w:ascii="Arial" w:hAnsi="Arial"/>
          <w:b/>
          <w:color w:val="0B1F33"/>
          <w:sz w:val="24"/>
        </w:rPr>
        <w:t>Skills and Key Competencies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Use of Agentic AI for process optimization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 xml:space="preserve">Strong team building 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Superior customer engagement and management</w:t>
      </w:r>
    </w:p>
    <w:p>
      <w:pPr>
        <w:pStyle w:val="ListBullet"/>
        <w:keepNext w:val="0"/>
        <w:widowControl/>
        <w:spacing w:before="0" w:after="46" w:line="245" w:lineRule="auto"/>
        <w:ind w:left="288" w:hanging="173"/>
      </w:pPr>
      <w:r>
        <w:rPr>
          <w:rFonts w:ascii="Arial" w:hAnsi="Arial"/>
          <w:color w:val="182230"/>
          <w:sz w:val="17"/>
        </w:rPr>
        <w:t>Specialist in program start-up and performance recovery</w:t>
      </w:r>
    </w:p>
    <w:sectPr w:rsidR="00FC693F" w:rsidRPr="0006063C" w:rsidSect="00034616">
      <w:footerReference w:type="default" r:id="rId9"/>
      <w:pgSz w:w="12240" w:h="15840"/>
      <w:pgMar w:top="605" w:right="835" w:bottom="677" w:left="835" w:header="173" w:footer="259" w:gutter="0"/>
      <w:cols w:space="720"/>
      <w:docGrid w:linePitch="360"/>
      <w:pgBorders w:offsetFrom="page">
        <w:top w:val="single" w:sz="32" w:space="0" w:color="0B1F33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top w:val="single" w:sz="4" w:space="5" w:color="C7D0DB"/>
      </w:pBdr>
      <w:jc w:val="center"/>
    </w:pPr>
    <w:r>
      <w:rPr>
        <w:rFonts w:ascii="Arial" w:hAnsi="Arial"/>
        <w:color w:val="536273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822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B1F33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Keith A. Pauley</dc:title>
  <dc:subject>Professional Resume</dc:subject>
  <dc:creator>Keith A. Pauley</dc:creator>
  <cp:keywords>program management, aerospace, defense, nuclear engineering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